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sz w:val="28"/>
          <w:szCs w:val="28"/>
        </w:rPr>
        <w:t>附件3</w:t>
      </w:r>
    </w:p>
    <w:p>
      <w:pPr>
        <w:jc w:val="center"/>
        <w:rPr>
          <w:b/>
          <w:sz w:val="36"/>
          <w:szCs w:val="36"/>
        </w:rPr>
      </w:pPr>
      <w:r>
        <w:rPr>
          <w:rFonts w:hint="eastAsia"/>
          <w:b/>
          <w:sz w:val="36"/>
          <w:szCs w:val="36"/>
        </w:rPr>
        <w:t>海南大学</w:t>
      </w:r>
      <w:r>
        <w:rPr>
          <w:b/>
          <w:sz w:val="36"/>
          <w:szCs w:val="36"/>
        </w:rPr>
        <w:t>201</w:t>
      </w:r>
      <w:r>
        <w:rPr>
          <w:rFonts w:hint="eastAsia"/>
          <w:b/>
          <w:sz w:val="36"/>
          <w:szCs w:val="36"/>
        </w:rPr>
        <w:t>8</w:t>
      </w:r>
      <w:r>
        <w:rPr>
          <w:b/>
          <w:sz w:val="36"/>
          <w:szCs w:val="36"/>
        </w:rPr>
        <w:t>-201</w:t>
      </w:r>
      <w:r>
        <w:rPr>
          <w:rFonts w:hint="eastAsia"/>
          <w:b/>
          <w:sz w:val="36"/>
          <w:szCs w:val="36"/>
        </w:rPr>
        <w:t>9</w:t>
      </w:r>
      <w:r>
        <w:rPr>
          <w:rFonts w:hint="eastAsia"/>
          <w:b/>
          <w:sz w:val="36"/>
          <w:szCs w:val="36"/>
          <w:lang w:eastAsia="zh-CN"/>
        </w:rPr>
        <w:t>学</w:t>
      </w:r>
      <w:r>
        <w:rPr>
          <w:rFonts w:hint="eastAsia"/>
          <w:b/>
          <w:sz w:val="36"/>
          <w:szCs w:val="36"/>
        </w:rPr>
        <w:t>年冬季小学期</w:t>
      </w:r>
    </w:p>
    <w:p>
      <w:pPr>
        <w:jc w:val="center"/>
        <w:rPr>
          <w:b/>
          <w:sz w:val="36"/>
          <w:szCs w:val="36"/>
        </w:rPr>
      </w:pPr>
      <w:r>
        <w:rPr>
          <w:rFonts w:hint="eastAsia"/>
          <w:b/>
          <w:sz w:val="36"/>
          <w:szCs w:val="36"/>
        </w:rPr>
        <w:t>相关工作事项及经费使用说明</w:t>
      </w:r>
    </w:p>
    <w:p>
      <w:pPr>
        <w:keepNext w:val="0"/>
        <w:keepLines w:val="0"/>
        <w:pageBreakBefore w:val="0"/>
        <w:widowControl w:val="0"/>
        <w:kinsoku/>
        <w:wordWrap/>
        <w:overflowPunct/>
        <w:topLinePunct w:val="0"/>
        <w:autoSpaceDE/>
        <w:autoSpaceDN/>
        <w:bidi w:val="0"/>
        <w:adjustRightInd/>
        <w:snapToGrid/>
        <w:spacing w:line="360" w:lineRule="exact"/>
        <w:ind w:left="-540" w:leftChars="-257"/>
        <w:textAlignment w:val="auto"/>
        <w:outlineLvl w:val="9"/>
        <w:rPr>
          <w:rFonts w:ascii="仿宋" w:hAnsi="仿宋" w:eastAsia="仿宋"/>
          <w:sz w:val="28"/>
          <w:szCs w:val="28"/>
        </w:rPr>
      </w:pPr>
      <w:r>
        <w:rPr>
          <w:rFonts w:hint="eastAsia" w:ascii="仿宋" w:hAnsi="仿宋" w:eastAsia="仿宋"/>
          <w:sz w:val="28"/>
          <w:szCs w:val="28"/>
        </w:rPr>
        <w:t>各单位：</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685" w:rightChars="-326" w:firstLine="560" w:firstLineChars="200"/>
        <w:textAlignment w:val="auto"/>
        <w:outlineLvl w:val="9"/>
        <w:rPr>
          <w:rFonts w:ascii="仿宋" w:hAnsi="仿宋" w:eastAsia="仿宋"/>
          <w:sz w:val="28"/>
          <w:szCs w:val="28"/>
        </w:rPr>
      </w:pPr>
      <w:r>
        <w:rPr>
          <w:rFonts w:hint="eastAsia" w:ascii="仿宋" w:hAnsi="仿宋" w:eastAsia="仿宋"/>
          <w:sz w:val="28"/>
          <w:szCs w:val="28"/>
        </w:rPr>
        <w:t>2018-2019学年冬季小学期在普通本科专业二至四年级全面实施。为支持各单位聘请省内外行业名家前来我校授课，学校设有专门经费用于外聘专家的讲课劳务费用等支出，其中包括：交通费、课酬、住宿费、餐食补贴、助教劳务补贴。学校按照每个单位冬季小学期实施计划中的外聘专家授课安排情况，把经费切分给相应单位使用。现将相关工作安排如下：</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685" w:rightChars="-326" w:firstLine="560" w:firstLineChars="200"/>
        <w:textAlignment w:val="auto"/>
        <w:outlineLvl w:val="9"/>
        <w:rPr>
          <w:rFonts w:ascii="仿宋" w:hAnsi="仿宋" w:eastAsia="仿宋"/>
          <w:sz w:val="28"/>
          <w:szCs w:val="28"/>
        </w:rPr>
      </w:pPr>
      <w:r>
        <w:rPr>
          <w:rFonts w:hint="eastAsia" w:ascii="仿宋" w:hAnsi="仿宋" w:eastAsia="仿宋"/>
          <w:sz w:val="28"/>
          <w:szCs w:val="28"/>
        </w:rPr>
        <w:t>一、各项经费的安排</w:t>
      </w:r>
    </w:p>
    <w:p>
      <w:pPr>
        <w:spacing w:line="400" w:lineRule="exact"/>
        <w:ind w:left="-718" w:leftChars="-342" w:right="-685" w:rightChars="-326" w:firstLine="560" w:firstLineChars="200"/>
        <w:rPr>
          <w:rFonts w:ascii="仿宋" w:hAnsi="仿宋" w:eastAsia="仿宋"/>
          <w:sz w:val="28"/>
          <w:szCs w:val="28"/>
        </w:rPr>
      </w:pPr>
      <w:r>
        <w:rPr>
          <w:rFonts w:hint="eastAsia" w:ascii="仿宋" w:hAnsi="仿宋" w:eastAsia="仿宋"/>
          <w:sz w:val="28"/>
          <w:szCs w:val="28"/>
        </w:rPr>
        <w:t>1．外聘授课专家课酬标准</w:t>
      </w:r>
    </w:p>
    <w:tbl>
      <w:tblPr>
        <w:tblStyle w:val="5"/>
        <w:tblW w:w="10128"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20"/>
        <w:gridCol w:w="188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528"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642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外聘专家类别</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jc w:val="center"/>
              <w:rPr>
                <w:rFonts w:ascii="仿宋" w:hAnsi="仿宋" w:eastAsia="仿宋"/>
                <w:sz w:val="28"/>
                <w:szCs w:val="28"/>
              </w:rPr>
            </w:pPr>
            <w:r>
              <w:rPr>
                <w:rFonts w:hint="eastAsia" w:ascii="仿宋" w:hAnsi="仿宋" w:eastAsia="仿宋"/>
                <w:sz w:val="28"/>
                <w:szCs w:val="28"/>
              </w:rPr>
              <w:t>课酬标准</w:t>
            </w:r>
          </w:p>
          <w:p>
            <w:pPr>
              <w:spacing w:line="400" w:lineRule="exact"/>
              <w:ind w:firstLine="280" w:firstLineChars="100"/>
              <w:rPr>
                <w:rFonts w:hint="eastAsia" w:ascii="仿宋" w:hAnsi="仿宋" w:eastAsia="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528"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p>
        </w:tc>
        <w:tc>
          <w:tcPr>
            <w:tcW w:w="6420"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8"/>
                <w:szCs w:val="28"/>
              </w:rPr>
            </w:pPr>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hint="eastAsia" w:ascii="仿宋" w:hAnsi="仿宋" w:eastAsia="仿宋"/>
                <w:sz w:val="28"/>
                <w:szCs w:val="28"/>
                <w:lang w:val="en-US" w:eastAsia="zh-CN"/>
              </w:rPr>
            </w:pPr>
            <w:r>
              <w:rPr>
                <w:rFonts w:hint="eastAsia" w:ascii="仿宋" w:hAnsi="仿宋" w:eastAsia="仿宋"/>
                <w:sz w:val="28"/>
                <w:szCs w:val="28"/>
                <w:lang w:val="en-US" w:eastAsia="zh-CN"/>
              </w:rPr>
              <w:t>课程</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hint="eastAsia" w:ascii="仿宋" w:hAnsi="仿宋" w:eastAsia="仿宋"/>
                <w:sz w:val="28"/>
                <w:szCs w:val="28"/>
                <w:lang w:val="en-US" w:eastAsia="zh-CN"/>
              </w:rPr>
            </w:pPr>
            <w:r>
              <w:rPr>
                <w:rFonts w:hint="eastAsia" w:ascii="仿宋" w:hAnsi="仿宋" w:eastAsia="仿宋"/>
                <w:sz w:val="28"/>
                <w:szCs w:val="28"/>
                <w:lang w:val="en-US" w:eastAsia="zh-CN"/>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5" w:rightChars="-326" w:firstLine="840" w:firstLineChars="300"/>
              <w:rPr>
                <w:rFonts w:ascii="仿宋" w:hAnsi="仿宋" w:eastAsia="仿宋"/>
                <w:sz w:val="28"/>
                <w:szCs w:val="28"/>
              </w:rPr>
            </w:pPr>
            <w:r>
              <w:rPr>
                <w:rFonts w:hint="eastAsia" w:ascii="仿宋" w:hAnsi="仿宋" w:eastAsia="仿宋"/>
                <w:sz w:val="28"/>
                <w:szCs w:val="28"/>
              </w:rPr>
              <w:t>1</w:t>
            </w:r>
          </w:p>
        </w:tc>
        <w:tc>
          <w:tcPr>
            <w:tcW w:w="6420"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5" w:rightChars="-326" w:firstLine="700" w:firstLineChars="250"/>
              <w:rPr>
                <w:rFonts w:ascii="仿宋" w:hAnsi="仿宋" w:eastAsia="仿宋"/>
                <w:sz w:val="28"/>
                <w:szCs w:val="28"/>
              </w:rPr>
            </w:pPr>
            <w:r>
              <w:rPr>
                <w:rFonts w:hint="eastAsia" w:ascii="仿宋" w:hAnsi="仿宋" w:eastAsia="仿宋"/>
                <w:sz w:val="28"/>
                <w:szCs w:val="28"/>
              </w:rPr>
              <w:t>两院院士</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right="0" w:rightChars="0" w:firstLine="0" w:firstLineChars="0"/>
              <w:rPr>
                <w:rFonts w:ascii="仿宋" w:hAnsi="仿宋" w:eastAsia="仿宋"/>
                <w:sz w:val="28"/>
                <w:szCs w:val="28"/>
              </w:rPr>
            </w:pPr>
            <w:r>
              <w:rPr>
                <w:rFonts w:hint="eastAsia" w:ascii="仿宋" w:hAnsi="仿宋" w:eastAsia="仿宋"/>
                <w:sz w:val="28"/>
                <w:szCs w:val="28"/>
              </w:rPr>
              <w:t>1000元/学时</w:t>
            </w:r>
          </w:p>
        </w:tc>
        <w:tc>
          <w:tcPr>
            <w:tcW w:w="129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 w:hAnsi="仿宋" w:eastAsia="仿宋"/>
                <w:sz w:val="28"/>
                <w:szCs w:val="28"/>
                <w:lang w:val="en-US" w:eastAsia="zh-CN"/>
              </w:rPr>
            </w:pPr>
            <w:r>
              <w:rPr>
                <w:rFonts w:hint="eastAsia" w:ascii="仿宋" w:hAnsi="仿宋" w:eastAsia="仿宋"/>
                <w:spacing w:val="-34"/>
                <w:sz w:val="28"/>
                <w:szCs w:val="28"/>
                <w:lang w:val="en-US" w:eastAsia="zh-CN"/>
              </w:rPr>
              <w:t>1000元/学时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5" w:rightChars="-326" w:firstLine="840" w:firstLineChars="300"/>
              <w:rPr>
                <w:rFonts w:ascii="仿宋" w:hAnsi="仿宋" w:eastAsia="仿宋"/>
                <w:sz w:val="28"/>
                <w:szCs w:val="28"/>
              </w:rPr>
            </w:pPr>
            <w:r>
              <w:rPr>
                <w:rFonts w:hint="eastAsia" w:ascii="仿宋" w:hAnsi="仿宋" w:eastAsia="仿宋"/>
                <w:sz w:val="28"/>
                <w:szCs w:val="28"/>
              </w:rPr>
              <w:t>2</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 w:hAnsi="仿宋" w:eastAsia="仿宋"/>
                <w:sz w:val="28"/>
                <w:szCs w:val="28"/>
              </w:rPr>
            </w:pPr>
            <w:r>
              <w:rPr>
                <w:rFonts w:ascii="仿宋" w:hAnsi="仿宋" w:eastAsia="仿宋"/>
                <w:sz w:val="28"/>
                <w:szCs w:val="28"/>
              </w:rPr>
              <w:t>长江学者、</w:t>
            </w:r>
            <w:r>
              <w:rPr>
                <w:rFonts w:hint="eastAsia" w:ascii="仿宋" w:hAnsi="仿宋" w:eastAsia="仿宋"/>
                <w:sz w:val="28"/>
                <w:szCs w:val="28"/>
              </w:rPr>
              <w:t>国家杰出青年科学基金</w:t>
            </w:r>
            <w:r>
              <w:rPr>
                <w:rFonts w:ascii="仿宋" w:hAnsi="仿宋" w:eastAsia="仿宋"/>
                <w:sz w:val="28"/>
                <w:szCs w:val="28"/>
              </w:rPr>
              <w:t>获得者</w:t>
            </w:r>
            <w:r>
              <w:rPr>
                <w:rFonts w:hint="eastAsia" w:ascii="仿宋" w:hAnsi="仿宋" w:eastAsia="仿宋"/>
                <w:sz w:val="28"/>
                <w:szCs w:val="28"/>
              </w:rPr>
              <w:t>、国家级教学名师</w:t>
            </w:r>
            <w:r>
              <w:rPr>
                <w:rFonts w:hint="eastAsia" w:ascii="仿宋" w:hAnsi="仿宋" w:eastAsia="仿宋"/>
                <w:sz w:val="28"/>
                <w:szCs w:val="28"/>
                <w:lang w:eastAsia="zh-CN"/>
              </w:rPr>
              <w:t>、国务院学位委员会学科评议组成员、教育部高等学校教学指导委员会委员</w:t>
            </w:r>
            <w:r>
              <w:rPr>
                <w:rFonts w:hint="eastAsia" w:ascii="仿宋" w:hAnsi="仿宋" w:eastAsia="仿宋"/>
                <w:sz w:val="28"/>
                <w:szCs w:val="28"/>
              </w:rPr>
              <w:t>以及世界五百强、央企等知名企业家</w:t>
            </w:r>
            <w:r>
              <w:rPr>
                <w:rFonts w:ascii="仿宋" w:hAnsi="仿宋" w:eastAsia="仿宋"/>
                <w:sz w:val="28"/>
                <w:szCs w:val="28"/>
              </w:rPr>
              <w:t>等</w:t>
            </w:r>
            <w:bookmarkStart w:id="0" w:name="_GoBack"/>
            <w:bookmarkEnd w:id="0"/>
          </w:p>
        </w:tc>
        <w:tc>
          <w:tcPr>
            <w:tcW w:w="1884"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5" w:rightChars="-326" w:firstLine="840" w:firstLineChars="300"/>
              <w:rPr>
                <w:rFonts w:ascii="仿宋" w:hAnsi="仿宋" w:eastAsia="仿宋"/>
                <w:sz w:val="28"/>
                <w:szCs w:val="28"/>
              </w:rPr>
            </w:pPr>
            <w:r>
              <w:rPr>
                <w:rFonts w:hint="eastAsia" w:ascii="仿宋" w:hAnsi="仿宋" w:eastAsia="仿宋"/>
                <w:sz w:val="28"/>
                <w:szCs w:val="28"/>
              </w:rPr>
              <w:t>800元/学时</w:t>
            </w:r>
          </w:p>
        </w:tc>
        <w:tc>
          <w:tcPr>
            <w:tcW w:w="1296" w:type="dxa"/>
            <w:vMerge w:val="continue"/>
            <w:tcBorders>
              <w:left w:val="single" w:color="auto" w:sz="4" w:space="0"/>
              <w:right w:val="single" w:color="auto" w:sz="4" w:space="0"/>
            </w:tcBorders>
            <w:vAlign w:val="center"/>
          </w:tcPr>
          <w:p>
            <w:pPr>
              <w:spacing w:line="400" w:lineRule="exact"/>
              <w:ind w:left="-718" w:leftChars="-342" w:right="-685" w:rightChars="-326" w:firstLine="840" w:firstLineChars="30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5" w:rightChars="-326" w:firstLine="840" w:firstLineChars="300"/>
              <w:rPr>
                <w:rFonts w:ascii="仿宋" w:hAnsi="仿宋" w:eastAsia="仿宋"/>
                <w:sz w:val="28"/>
                <w:szCs w:val="28"/>
              </w:rPr>
            </w:pPr>
            <w:r>
              <w:rPr>
                <w:rFonts w:hint="eastAsia" w:ascii="仿宋" w:hAnsi="仿宋" w:eastAsia="仿宋"/>
                <w:sz w:val="28"/>
                <w:szCs w:val="28"/>
              </w:rPr>
              <w:t>3</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ascii="仿宋" w:hAnsi="仿宋" w:eastAsia="仿宋"/>
                <w:sz w:val="28"/>
                <w:szCs w:val="28"/>
              </w:rPr>
            </w:pPr>
            <w:r>
              <w:rPr>
                <w:rFonts w:hint="eastAsia" w:ascii="仿宋" w:hAnsi="仿宋" w:eastAsia="仿宋"/>
                <w:sz w:val="28"/>
                <w:szCs w:val="28"/>
              </w:rPr>
              <w:t>国</w:t>
            </w:r>
            <w:r>
              <w:rPr>
                <w:rFonts w:hint="eastAsia" w:ascii="仿宋" w:hAnsi="仿宋" w:eastAsia="仿宋"/>
                <w:sz w:val="28"/>
                <w:szCs w:val="28"/>
                <w:lang w:eastAsia="zh-CN"/>
              </w:rPr>
              <w:t>家</w:t>
            </w:r>
            <w:r>
              <w:rPr>
                <w:rFonts w:hint="eastAsia" w:ascii="仿宋" w:hAnsi="仿宋" w:eastAsia="仿宋"/>
                <w:sz w:val="28"/>
                <w:szCs w:val="28"/>
              </w:rPr>
              <w:t>双一流建设</w:t>
            </w:r>
            <w:r>
              <w:rPr>
                <w:rFonts w:ascii="仿宋" w:hAnsi="仿宋" w:eastAsia="仿宋"/>
                <w:sz w:val="28"/>
                <w:szCs w:val="28"/>
              </w:rPr>
              <w:t>高校、权威研究机构（中国科学院等）</w:t>
            </w:r>
            <w:r>
              <w:rPr>
                <w:rFonts w:hint="eastAsia" w:ascii="仿宋" w:hAnsi="仿宋" w:eastAsia="仿宋"/>
                <w:sz w:val="28"/>
                <w:szCs w:val="28"/>
              </w:rPr>
              <w:t>的</w:t>
            </w:r>
            <w:r>
              <w:rPr>
                <w:rFonts w:ascii="仿宋" w:hAnsi="仿宋" w:eastAsia="仿宋"/>
                <w:sz w:val="28"/>
                <w:szCs w:val="28"/>
              </w:rPr>
              <w:t>教授、</w:t>
            </w:r>
            <w:r>
              <w:rPr>
                <w:rFonts w:hint="eastAsia" w:ascii="仿宋" w:hAnsi="仿宋" w:eastAsia="仿宋"/>
                <w:sz w:val="28"/>
                <w:szCs w:val="28"/>
                <w:lang w:eastAsia="zh-CN"/>
              </w:rPr>
              <w:t>研究员</w:t>
            </w:r>
            <w:r>
              <w:rPr>
                <w:rFonts w:ascii="仿宋" w:hAnsi="仿宋" w:eastAsia="仿宋"/>
                <w:sz w:val="28"/>
                <w:szCs w:val="28"/>
              </w:rPr>
              <w:t>；</w:t>
            </w:r>
            <w:r>
              <w:rPr>
                <w:rFonts w:hint="eastAsia" w:ascii="仿宋" w:hAnsi="仿宋" w:eastAsia="仿宋"/>
                <w:sz w:val="28"/>
                <w:szCs w:val="28"/>
              </w:rPr>
              <w:t>我国知名企事业单位的企业家、高层管理人员（集团总经理、副总经理）、高级专业技术人才（总会计师、总审计师、总工程师、总规划师）</w:t>
            </w:r>
            <w:r>
              <w:rPr>
                <w:rFonts w:hint="eastAsia" w:ascii="仿宋" w:hAnsi="仿宋" w:eastAsia="仿宋"/>
                <w:sz w:val="28"/>
                <w:szCs w:val="28"/>
                <w:lang w:eastAsia="zh-CN"/>
              </w:rPr>
              <w:t>。</w:t>
            </w:r>
            <w:r>
              <w:rPr>
                <w:rFonts w:ascii="仿宋" w:hAnsi="仿宋" w:eastAsia="仿宋"/>
                <w:sz w:val="28"/>
                <w:szCs w:val="28"/>
              </w:rPr>
              <w:t xml:space="preserve"> </w:t>
            </w:r>
          </w:p>
        </w:tc>
        <w:tc>
          <w:tcPr>
            <w:tcW w:w="1884" w:type="dxa"/>
            <w:tcBorders>
              <w:top w:val="single" w:color="auto" w:sz="4" w:space="0"/>
              <w:left w:val="single" w:color="auto" w:sz="4" w:space="0"/>
              <w:bottom w:val="single" w:color="auto" w:sz="4" w:space="0"/>
              <w:right w:val="single" w:color="auto" w:sz="4" w:space="0"/>
            </w:tcBorders>
            <w:vAlign w:val="center"/>
          </w:tcPr>
          <w:p>
            <w:pPr>
              <w:tabs>
                <w:tab w:val="left" w:pos="2520"/>
              </w:tabs>
              <w:spacing w:line="400" w:lineRule="exact"/>
              <w:ind w:left="-718" w:leftChars="-342" w:right="-685" w:rightChars="-326" w:firstLine="840" w:firstLineChars="300"/>
              <w:rPr>
                <w:rFonts w:hint="eastAsia" w:ascii="仿宋" w:hAnsi="仿宋" w:eastAsia="仿宋"/>
                <w:sz w:val="28"/>
                <w:szCs w:val="28"/>
                <w:lang w:eastAsia="zh-CN"/>
              </w:rPr>
            </w:pPr>
            <w:r>
              <w:rPr>
                <w:rFonts w:hint="eastAsia" w:ascii="仿宋" w:hAnsi="仿宋" w:eastAsia="仿宋"/>
                <w:sz w:val="28"/>
                <w:szCs w:val="28"/>
              </w:rPr>
              <w:t>600元/学时</w:t>
            </w:r>
            <w:r>
              <w:rPr>
                <w:rFonts w:hint="eastAsia" w:ascii="仿宋" w:hAnsi="仿宋" w:eastAsia="仿宋"/>
                <w:sz w:val="28"/>
                <w:szCs w:val="28"/>
                <w:lang w:eastAsia="zh-CN"/>
              </w:rPr>
              <w:tab/>
            </w:r>
          </w:p>
        </w:tc>
        <w:tc>
          <w:tcPr>
            <w:tcW w:w="1296" w:type="dxa"/>
            <w:vMerge w:val="continue"/>
            <w:tcBorders>
              <w:left w:val="single" w:color="auto" w:sz="4" w:space="0"/>
              <w:bottom w:val="single" w:color="auto" w:sz="4" w:space="0"/>
              <w:right w:val="single" w:color="auto" w:sz="4" w:space="0"/>
            </w:tcBorders>
            <w:vAlign w:val="center"/>
          </w:tcPr>
          <w:p>
            <w:pPr>
              <w:tabs>
                <w:tab w:val="left" w:pos="2520"/>
              </w:tabs>
              <w:spacing w:line="400" w:lineRule="exact"/>
              <w:ind w:left="-718" w:leftChars="-342" w:right="-685" w:rightChars="-326" w:firstLine="840" w:firstLineChars="30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01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sz w:val="28"/>
                <w:szCs w:val="28"/>
              </w:rPr>
            </w:pPr>
            <w:r>
              <w:rPr>
                <w:rFonts w:hint="eastAsia" w:ascii="仿宋" w:hAnsi="仿宋" w:eastAsia="仿宋"/>
                <w:sz w:val="28"/>
                <w:szCs w:val="28"/>
              </w:rPr>
              <w:t>备注：冬季小学期外聘专家讲授学时最少8个学时，最多32学时</w:t>
            </w:r>
          </w:p>
        </w:tc>
      </w:tr>
    </w:tbl>
    <w:tbl>
      <w:tblPr>
        <w:tblStyle w:val="6"/>
        <w:tblpPr w:leftFromText="180" w:rightFromText="180" w:vertAnchor="text" w:tblpX="10214" w:tblpY="-4990"/>
        <w:tblOverlap w:val="never"/>
        <w:tblW w:w="1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854" w:type="dxa"/>
          </w:tcPr>
          <w:p>
            <w:pPr>
              <w:spacing w:line="400" w:lineRule="exact"/>
              <w:ind w:right="-685" w:rightChars="-326"/>
              <w:rPr>
                <w:rFonts w:hint="eastAsia" w:ascii="仿宋" w:hAnsi="仿宋" w:eastAsia="仿宋"/>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380" w:lineRule="exact"/>
        <w:ind w:left="-718" w:leftChars="-342" w:right="-685" w:rightChars="-326" w:firstLine="560" w:firstLineChars="200"/>
        <w:textAlignment w:val="auto"/>
        <w:outlineLvl w:val="9"/>
        <w:rPr>
          <w:rFonts w:ascii="仿宋" w:hAnsi="仿宋" w:eastAsia="仿宋"/>
          <w:sz w:val="28"/>
          <w:szCs w:val="28"/>
        </w:rPr>
      </w:pPr>
      <w:r>
        <w:rPr>
          <w:rFonts w:hint="eastAsia" w:ascii="仿宋" w:hAnsi="仿宋" w:eastAsia="仿宋"/>
          <w:sz w:val="28"/>
          <w:szCs w:val="28"/>
        </w:rPr>
        <w:t>2．住宿费、餐食补贴、助教津补贴标准：外聘专家授课期间住宿</w:t>
      </w:r>
      <w:r>
        <w:rPr>
          <w:rFonts w:hint="eastAsia" w:ascii="仿宋" w:hAnsi="仿宋" w:eastAsia="仿宋"/>
          <w:sz w:val="28"/>
          <w:szCs w:val="28"/>
          <w:lang w:eastAsia="zh-CN"/>
        </w:rPr>
        <w:t>、伙食补助费</w:t>
      </w:r>
      <w:r>
        <w:rPr>
          <w:rFonts w:hint="eastAsia" w:ascii="仿宋" w:hAnsi="仿宋" w:eastAsia="仿宋"/>
          <w:sz w:val="28"/>
          <w:szCs w:val="28"/>
        </w:rPr>
        <w:t>按照</w:t>
      </w:r>
      <w:r>
        <w:rPr>
          <w:rFonts w:hint="eastAsia" w:ascii="仿宋" w:hAnsi="仿宋" w:eastAsia="仿宋"/>
          <w:color w:val="auto"/>
          <w:sz w:val="28"/>
          <w:szCs w:val="28"/>
        </w:rPr>
        <w:t>《海南大学差旅</w:t>
      </w:r>
      <w:r>
        <w:rPr>
          <w:rFonts w:hint="eastAsia" w:ascii="仿宋" w:hAnsi="仿宋" w:eastAsia="仿宋"/>
          <w:color w:val="auto"/>
          <w:sz w:val="28"/>
          <w:szCs w:val="28"/>
          <w:lang w:eastAsia="zh-CN"/>
        </w:rPr>
        <w:t>费</w:t>
      </w:r>
      <w:r>
        <w:rPr>
          <w:rFonts w:hint="eastAsia" w:ascii="仿宋" w:hAnsi="仿宋" w:eastAsia="仿宋"/>
          <w:color w:val="auto"/>
          <w:sz w:val="28"/>
          <w:szCs w:val="28"/>
        </w:rPr>
        <w:t>管理办法》（海大办〔201</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w:t>
      </w:r>
      <w:r>
        <w:rPr>
          <w:rFonts w:hint="eastAsia" w:ascii="仿宋" w:hAnsi="仿宋" w:eastAsia="仿宋"/>
          <w:color w:val="auto"/>
          <w:sz w:val="28"/>
          <w:szCs w:val="28"/>
          <w:lang w:val="en-US" w:eastAsia="zh-CN"/>
        </w:rPr>
        <w:t>39</w:t>
      </w:r>
      <w:r>
        <w:rPr>
          <w:rFonts w:hint="eastAsia" w:ascii="仿宋" w:hAnsi="仿宋" w:eastAsia="仿宋"/>
          <w:color w:val="auto"/>
          <w:sz w:val="28"/>
          <w:szCs w:val="28"/>
        </w:rPr>
        <w:t>号）</w:t>
      </w:r>
      <w:r>
        <w:rPr>
          <w:rFonts w:hint="eastAsia" w:ascii="仿宋" w:hAnsi="仿宋" w:eastAsia="仿宋"/>
          <w:sz w:val="28"/>
          <w:szCs w:val="28"/>
        </w:rPr>
        <w:t>文件标准，助教津补贴：外聘专家授课学时/2×80元。</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ascii="仿宋" w:hAnsi="仿宋" w:eastAsia="仿宋"/>
          <w:sz w:val="28"/>
          <w:szCs w:val="28"/>
        </w:rPr>
      </w:pPr>
      <w:r>
        <w:rPr>
          <w:rFonts w:hint="eastAsia" w:ascii="仿宋" w:hAnsi="仿宋" w:eastAsia="仿宋"/>
          <w:sz w:val="28"/>
          <w:szCs w:val="28"/>
        </w:rPr>
        <w:t>二、冬季小学期相关工作事项的说明</w:t>
      </w:r>
    </w:p>
    <w:p>
      <w:pPr>
        <w:keepNext w:val="0"/>
        <w:keepLines w:val="0"/>
        <w:pageBreakBefore w:val="0"/>
        <w:widowControl w:val="0"/>
        <w:kinsoku/>
        <w:wordWrap/>
        <w:overflowPunct/>
        <w:topLinePunct w:val="0"/>
        <w:autoSpaceDE/>
        <w:autoSpaceDN/>
        <w:bidi w:val="0"/>
        <w:adjustRightInd/>
        <w:snapToGrid/>
        <w:spacing w:line="380" w:lineRule="exact"/>
        <w:ind w:left="-718" w:leftChars="-342" w:right="-685" w:rightChars="-326" w:firstLine="537" w:firstLineChars="192"/>
        <w:textAlignment w:val="auto"/>
        <w:outlineLvl w:val="9"/>
        <w:rPr>
          <w:rFonts w:ascii="仿宋" w:hAnsi="仿宋" w:eastAsia="仿宋"/>
          <w:sz w:val="28"/>
          <w:szCs w:val="28"/>
        </w:rPr>
      </w:pPr>
      <w:r>
        <w:rPr>
          <w:rFonts w:hint="eastAsia" w:ascii="仿宋" w:hAnsi="仿宋" w:eastAsia="仿宋"/>
          <w:sz w:val="28"/>
          <w:szCs w:val="28"/>
        </w:rPr>
        <w:t>1．排课要求</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原则上一门课程由一位专家上课，每门课程最多可安排2位专家上课，且学校只负责报销一位专家的差旅费用；</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冬季小学期课程不允许4节连排，一位专家每天排课不允许超过6学时；一个讲座不得超过3学时。</w:t>
      </w:r>
    </w:p>
    <w:p>
      <w:pPr>
        <w:keepNext w:val="0"/>
        <w:keepLines w:val="0"/>
        <w:pageBreakBefore w:val="0"/>
        <w:widowControl w:val="0"/>
        <w:kinsoku/>
        <w:wordWrap/>
        <w:overflowPunct/>
        <w:topLinePunct w:val="0"/>
        <w:autoSpaceDE/>
        <w:autoSpaceDN/>
        <w:bidi w:val="0"/>
        <w:adjustRightInd/>
        <w:snapToGrid/>
        <w:spacing w:line="380" w:lineRule="exact"/>
        <w:ind w:left="-718" w:leftChars="-342" w:right="-685" w:rightChars="-326" w:firstLine="537" w:firstLineChars="192"/>
        <w:textAlignment w:val="auto"/>
        <w:outlineLvl w:val="9"/>
        <w:rPr>
          <w:rFonts w:ascii="仿宋" w:hAnsi="仿宋" w:eastAsia="仿宋"/>
          <w:sz w:val="28"/>
          <w:szCs w:val="28"/>
        </w:rPr>
      </w:pPr>
      <w:r>
        <w:rPr>
          <w:rFonts w:hint="eastAsia" w:ascii="仿宋" w:hAnsi="仿宋" w:eastAsia="仿宋"/>
          <w:sz w:val="28"/>
          <w:szCs w:val="28"/>
        </w:rPr>
        <w:t>2.财务问题</w:t>
      </w:r>
    </w:p>
    <w:p>
      <w:pPr>
        <w:keepNext w:val="0"/>
        <w:keepLines w:val="0"/>
        <w:pageBreakBefore w:val="0"/>
        <w:widowControl w:val="0"/>
        <w:kinsoku/>
        <w:wordWrap/>
        <w:overflowPunct/>
        <w:topLinePunct w:val="0"/>
        <w:autoSpaceDE/>
        <w:autoSpaceDN/>
        <w:bidi w:val="0"/>
        <w:adjustRightInd/>
        <w:snapToGrid/>
        <w:spacing w:line="380" w:lineRule="exact"/>
        <w:ind w:left="-718" w:leftChars="-342" w:right="-685" w:rightChars="-326" w:firstLine="537" w:firstLineChars="192"/>
        <w:textAlignment w:val="auto"/>
        <w:outlineLvl w:val="9"/>
        <w:rPr>
          <w:rFonts w:ascii="仿宋" w:hAnsi="仿宋" w:eastAsia="仿宋"/>
          <w:sz w:val="28"/>
          <w:szCs w:val="28"/>
        </w:rPr>
      </w:pPr>
      <w:r>
        <w:rPr>
          <w:rFonts w:hint="eastAsia" w:ascii="仿宋" w:hAnsi="仿宋" w:eastAsia="仿宋"/>
          <w:sz w:val="28"/>
          <w:szCs w:val="28"/>
        </w:rPr>
        <w:t>根据我校财务制度规定作如下说明</w:t>
      </w:r>
    </w:p>
    <w:p>
      <w:pPr>
        <w:keepNext w:val="0"/>
        <w:keepLines w:val="0"/>
        <w:pageBreakBefore w:val="0"/>
        <w:widowControl w:val="0"/>
        <w:numPr>
          <w:ilvl w:val="0"/>
          <w:numId w:val="2"/>
        </w:numPr>
        <w:tabs>
          <w:tab w:val="left" w:pos="662"/>
        </w:tabs>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冬季小学期外聘专家经费使用应符合支出款项的要求并符合学校财务制度；</w:t>
      </w:r>
    </w:p>
    <w:p>
      <w:pPr>
        <w:keepNext w:val="0"/>
        <w:keepLines w:val="0"/>
        <w:pageBreakBefore w:val="0"/>
        <w:widowControl w:val="0"/>
        <w:numPr>
          <w:ilvl w:val="0"/>
          <w:numId w:val="2"/>
        </w:numPr>
        <w:tabs>
          <w:tab w:val="left" w:pos="662"/>
        </w:tabs>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冬季小学期外聘专家课酬须以转账的形式支付。如无国内账户的国（境）外专家须提前向计划财务处提交申请，经批准后方可以现金的形式支付。</w:t>
      </w:r>
    </w:p>
    <w:p>
      <w:pPr>
        <w:keepNext w:val="0"/>
        <w:keepLines w:val="0"/>
        <w:pageBreakBefore w:val="0"/>
        <w:widowControl w:val="0"/>
        <w:numPr>
          <w:ilvl w:val="0"/>
          <w:numId w:val="2"/>
        </w:numPr>
        <w:tabs>
          <w:tab w:val="left" w:pos="662"/>
        </w:tabs>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按照</w:t>
      </w:r>
      <w:r>
        <w:rPr>
          <w:rFonts w:hint="eastAsia" w:ascii="仿宋" w:hAnsi="仿宋" w:eastAsia="仿宋"/>
          <w:color w:val="auto"/>
          <w:sz w:val="28"/>
          <w:szCs w:val="28"/>
        </w:rPr>
        <w:t>《海南大学公务接待管理暂行办法》（海大办〔2014〕11号）</w:t>
      </w:r>
      <w:r>
        <w:rPr>
          <w:rFonts w:hint="eastAsia" w:ascii="仿宋" w:hAnsi="仿宋" w:eastAsia="仿宋"/>
          <w:sz w:val="28"/>
          <w:szCs w:val="28"/>
        </w:rPr>
        <w:t>，每位外聘专家可接待一次，标准为150元/人</w:t>
      </w:r>
      <w:r>
        <w:rPr>
          <w:rFonts w:hint="eastAsia" w:ascii="仿宋" w:hAnsi="仿宋" w:eastAsia="仿宋"/>
          <w:sz w:val="28"/>
          <w:szCs w:val="28"/>
          <w:lang w:eastAsia="zh-CN"/>
        </w:rPr>
        <w:t>（外籍专家</w:t>
      </w:r>
      <w:r>
        <w:rPr>
          <w:rFonts w:hint="eastAsia" w:ascii="仿宋" w:hAnsi="仿宋" w:eastAsia="仿宋"/>
          <w:sz w:val="28"/>
          <w:szCs w:val="28"/>
          <w:lang w:val="en-US" w:eastAsia="zh-CN"/>
        </w:rPr>
        <w:t>300元/人）</w:t>
      </w:r>
      <w:r>
        <w:rPr>
          <w:rFonts w:hint="eastAsia" w:ascii="仿宋" w:hAnsi="仿宋" w:eastAsia="仿宋"/>
          <w:sz w:val="28"/>
          <w:szCs w:val="28"/>
        </w:rPr>
        <w:t>，陪餐人数不得超过3人；如果若干外聘专家共同承担一门课程，只能安排一次接待。</w:t>
      </w:r>
    </w:p>
    <w:p>
      <w:pPr>
        <w:keepNext w:val="0"/>
        <w:keepLines w:val="0"/>
        <w:pageBreakBefore w:val="0"/>
        <w:widowControl w:val="0"/>
        <w:numPr>
          <w:ilvl w:val="0"/>
          <w:numId w:val="2"/>
        </w:numPr>
        <w:tabs>
          <w:tab w:val="left" w:pos="662"/>
        </w:tabs>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可报销的专家交通费包括：来往飞机票、火车高铁票、长途客车票以及往返海口机场、车站的交通费用；如各单位使用师生事务保障中心车辆，填单时需详细注明接送专家的姓名以及其他信息；学校不承担除海口美兰机场、海口车站以外的接送车费。</w:t>
      </w:r>
    </w:p>
    <w:p>
      <w:pPr>
        <w:keepNext w:val="0"/>
        <w:keepLines w:val="0"/>
        <w:pageBreakBefore w:val="0"/>
        <w:widowControl w:val="0"/>
        <w:numPr>
          <w:ilvl w:val="0"/>
          <w:numId w:val="2"/>
        </w:numPr>
        <w:tabs>
          <w:tab w:val="left" w:pos="780"/>
        </w:tabs>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各单位根据外聘专家来校授课的时间自行预订外聘专家住宿宾馆；</w:t>
      </w:r>
    </w:p>
    <w:p>
      <w:pPr>
        <w:keepNext w:val="0"/>
        <w:keepLines w:val="0"/>
        <w:pageBreakBefore w:val="0"/>
        <w:widowControl w:val="0"/>
        <w:numPr>
          <w:ilvl w:val="0"/>
          <w:numId w:val="2"/>
        </w:numPr>
        <w:tabs>
          <w:tab w:val="left" w:pos="780"/>
        </w:tabs>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冬季小学期外聘授课专家交通费、公务接待、住宿等费用等以公务卡刷卡形式支付并留银行刷单小票，如产生手续费用，须凭银行单据报账。</w:t>
      </w:r>
    </w:p>
    <w:p>
      <w:pPr>
        <w:keepNext w:val="0"/>
        <w:keepLines w:val="0"/>
        <w:pageBreakBefore w:val="0"/>
        <w:widowControl w:val="0"/>
        <w:numPr>
          <w:ilvl w:val="0"/>
          <w:numId w:val="2"/>
        </w:numPr>
        <w:tabs>
          <w:tab w:val="left" w:pos="780"/>
        </w:tabs>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报账时限等事项应当严格执行</w:t>
      </w:r>
      <w:r>
        <w:rPr>
          <w:rFonts w:hint="eastAsia" w:ascii="仿宋" w:hAnsi="仿宋" w:eastAsia="仿宋"/>
          <w:color w:val="auto"/>
          <w:sz w:val="28"/>
          <w:szCs w:val="28"/>
        </w:rPr>
        <w:t>《海南省财政厅关于严格财务报账管理的通知》（琼财支[2015]1499号）</w:t>
      </w:r>
      <w:r>
        <w:rPr>
          <w:rFonts w:hint="eastAsia" w:ascii="仿宋" w:hAnsi="仿宋" w:eastAsia="仿宋"/>
          <w:sz w:val="28"/>
          <w:szCs w:val="28"/>
        </w:rPr>
        <w:t>文件要求。</w:t>
      </w:r>
    </w:p>
    <w:p>
      <w:pPr>
        <w:keepNext w:val="0"/>
        <w:keepLines w:val="0"/>
        <w:pageBreakBefore w:val="0"/>
        <w:widowControl w:val="0"/>
        <w:numPr>
          <w:ilvl w:val="0"/>
          <w:numId w:val="2"/>
        </w:numPr>
        <w:tabs>
          <w:tab w:val="left" w:pos="780"/>
        </w:tabs>
        <w:kinsoku/>
        <w:wordWrap/>
        <w:overflowPunct/>
        <w:topLinePunct w:val="0"/>
        <w:autoSpaceDE/>
        <w:autoSpaceDN/>
        <w:bidi w:val="0"/>
        <w:adjustRightInd/>
        <w:snapToGrid/>
        <w:spacing w:line="380" w:lineRule="exact"/>
        <w:ind w:right="-685" w:rightChars="-326"/>
        <w:textAlignment w:val="auto"/>
        <w:outlineLvl w:val="9"/>
        <w:rPr>
          <w:rFonts w:ascii="仿宋" w:hAnsi="仿宋" w:eastAsia="仿宋"/>
          <w:sz w:val="28"/>
          <w:szCs w:val="28"/>
        </w:rPr>
      </w:pPr>
      <w:r>
        <w:rPr>
          <w:rFonts w:hint="eastAsia" w:ascii="仿宋" w:hAnsi="仿宋" w:eastAsia="仿宋"/>
          <w:sz w:val="28"/>
          <w:szCs w:val="28"/>
        </w:rPr>
        <w:t>本年度冬季小学期费用报销时间定为：2019年4月15日前，逾期不再受理；</w:t>
      </w:r>
    </w:p>
    <w:p>
      <w:pPr>
        <w:keepNext w:val="0"/>
        <w:keepLines w:val="0"/>
        <w:pageBreakBefore w:val="0"/>
        <w:widowControl w:val="0"/>
        <w:kinsoku/>
        <w:wordWrap/>
        <w:overflowPunct/>
        <w:topLinePunct w:val="0"/>
        <w:autoSpaceDE/>
        <w:autoSpaceDN/>
        <w:bidi w:val="0"/>
        <w:adjustRightInd/>
        <w:snapToGrid/>
        <w:spacing w:line="380" w:lineRule="exact"/>
        <w:ind w:left="-178" w:right="-685" w:rightChars="-326"/>
        <w:textAlignment w:val="auto"/>
        <w:outlineLvl w:val="9"/>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．服务工作</w:t>
      </w:r>
    </w:p>
    <w:p>
      <w:pPr>
        <w:keepNext w:val="0"/>
        <w:keepLines w:val="0"/>
        <w:pageBreakBefore w:val="0"/>
        <w:widowControl w:val="0"/>
        <w:numPr>
          <w:ilvl w:val="1"/>
          <w:numId w:val="3"/>
        </w:numPr>
        <w:tabs>
          <w:tab w:val="left" w:pos="-180"/>
          <w:tab w:val="left" w:pos="180"/>
        </w:tabs>
        <w:kinsoku/>
        <w:wordWrap/>
        <w:overflowPunct/>
        <w:topLinePunct w:val="0"/>
        <w:autoSpaceDE/>
        <w:autoSpaceDN/>
        <w:bidi w:val="0"/>
        <w:adjustRightInd/>
        <w:snapToGrid/>
        <w:spacing w:line="380" w:lineRule="exact"/>
        <w:ind w:left="180" w:right="-685" w:rightChars="-326" w:hanging="360"/>
        <w:textAlignment w:val="auto"/>
        <w:outlineLvl w:val="9"/>
        <w:rPr>
          <w:rFonts w:ascii="仿宋" w:hAnsi="仿宋" w:eastAsia="仿宋"/>
          <w:sz w:val="28"/>
          <w:szCs w:val="28"/>
        </w:rPr>
      </w:pPr>
      <w:r>
        <w:rPr>
          <w:rFonts w:hint="eastAsia" w:ascii="仿宋" w:hAnsi="仿宋" w:eastAsia="仿宋"/>
          <w:sz w:val="28"/>
          <w:szCs w:val="28"/>
        </w:rPr>
        <w:t>各单位指定的助教应及时跟踪专家授课、生活等情况，引导专家了解校园基本情况、弄清上课地点等；</w:t>
      </w:r>
    </w:p>
    <w:p>
      <w:pPr>
        <w:keepNext w:val="0"/>
        <w:keepLines w:val="0"/>
        <w:pageBreakBefore w:val="0"/>
        <w:widowControl w:val="0"/>
        <w:numPr>
          <w:ilvl w:val="1"/>
          <w:numId w:val="3"/>
        </w:numPr>
        <w:tabs>
          <w:tab w:val="left" w:pos="180"/>
        </w:tabs>
        <w:kinsoku/>
        <w:wordWrap/>
        <w:overflowPunct/>
        <w:topLinePunct w:val="0"/>
        <w:autoSpaceDE/>
        <w:autoSpaceDN/>
        <w:bidi w:val="0"/>
        <w:adjustRightInd/>
        <w:snapToGrid/>
        <w:spacing w:line="380" w:lineRule="exact"/>
        <w:ind w:left="180" w:right="-685" w:rightChars="-326" w:hanging="360"/>
        <w:textAlignment w:val="auto"/>
        <w:outlineLvl w:val="9"/>
        <w:rPr>
          <w:rFonts w:ascii="仿宋" w:hAnsi="仿宋" w:eastAsia="仿宋"/>
          <w:sz w:val="28"/>
          <w:szCs w:val="28"/>
        </w:rPr>
      </w:pPr>
      <w:r>
        <w:rPr>
          <w:rFonts w:hint="eastAsia" w:ascii="仿宋" w:hAnsi="仿宋" w:eastAsia="仿宋"/>
          <w:sz w:val="28"/>
          <w:szCs w:val="28"/>
        </w:rPr>
        <w:t>各单位指定的助教应当帮助专家完成选课学生的考核、成绩登录等工作；</w:t>
      </w:r>
    </w:p>
    <w:p>
      <w:pPr>
        <w:keepNext w:val="0"/>
        <w:keepLines w:val="0"/>
        <w:pageBreakBefore w:val="0"/>
        <w:widowControl w:val="0"/>
        <w:numPr>
          <w:ilvl w:val="1"/>
          <w:numId w:val="3"/>
        </w:numPr>
        <w:tabs>
          <w:tab w:val="left" w:pos="180"/>
        </w:tabs>
        <w:kinsoku/>
        <w:wordWrap/>
        <w:overflowPunct/>
        <w:topLinePunct w:val="0"/>
        <w:autoSpaceDE/>
        <w:autoSpaceDN/>
        <w:bidi w:val="0"/>
        <w:adjustRightInd/>
        <w:snapToGrid/>
        <w:spacing w:line="380" w:lineRule="exact"/>
        <w:ind w:left="180" w:right="-685" w:rightChars="-326" w:hanging="360"/>
        <w:textAlignment w:val="auto"/>
        <w:outlineLvl w:val="9"/>
        <w:rPr>
          <w:rFonts w:ascii="仿宋" w:hAnsi="仿宋" w:eastAsia="仿宋"/>
          <w:sz w:val="28"/>
          <w:szCs w:val="28"/>
        </w:rPr>
      </w:pPr>
      <w:r>
        <w:rPr>
          <w:rFonts w:hint="eastAsia" w:ascii="仿宋" w:hAnsi="仿宋" w:eastAsia="仿宋"/>
          <w:sz w:val="28"/>
          <w:szCs w:val="28"/>
        </w:rPr>
        <w:t>各单位应当确保专家上课时学生到课人数，</w:t>
      </w:r>
      <w:r>
        <w:rPr>
          <w:rFonts w:hint="eastAsia" w:ascii="仿宋" w:hAnsi="仿宋" w:eastAsia="仿宋"/>
          <w:b/>
          <w:sz w:val="28"/>
          <w:szCs w:val="28"/>
        </w:rPr>
        <w:t>明确冬季小学期的课程选课后学生不能退课，</w:t>
      </w:r>
      <w:r>
        <w:rPr>
          <w:rFonts w:hint="eastAsia" w:ascii="仿宋" w:hAnsi="仿宋" w:eastAsia="仿宋"/>
          <w:sz w:val="28"/>
          <w:szCs w:val="28"/>
        </w:rPr>
        <w:t>不参加考核的学生该课程考核结果记为“缺考”，录入教务管理系统。</w:t>
      </w:r>
    </w:p>
    <w:p>
      <w:pPr>
        <w:keepNext w:val="0"/>
        <w:keepLines w:val="0"/>
        <w:pageBreakBefore w:val="0"/>
        <w:widowControl w:val="0"/>
        <w:kinsoku/>
        <w:wordWrap/>
        <w:overflowPunct/>
        <w:topLinePunct w:val="0"/>
        <w:autoSpaceDE/>
        <w:autoSpaceDN/>
        <w:bidi w:val="0"/>
        <w:adjustRightInd/>
        <w:snapToGrid/>
        <w:spacing w:line="380" w:lineRule="exact"/>
        <w:ind w:left="-718" w:leftChars="-342" w:right="-685" w:rightChars="-326" w:firstLine="537" w:firstLineChars="192"/>
        <w:textAlignment w:val="auto"/>
        <w:outlineLvl w:val="9"/>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．宣传工作</w:t>
      </w:r>
    </w:p>
    <w:p>
      <w:pPr>
        <w:keepNext w:val="0"/>
        <w:keepLines w:val="0"/>
        <w:pageBreakBefore w:val="0"/>
        <w:widowControl w:val="0"/>
        <w:numPr>
          <w:ilvl w:val="0"/>
          <w:numId w:val="4"/>
        </w:numPr>
        <w:tabs>
          <w:tab w:val="left" w:pos="180"/>
        </w:tabs>
        <w:kinsoku/>
        <w:wordWrap/>
        <w:overflowPunct/>
        <w:topLinePunct w:val="0"/>
        <w:autoSpaceDE/>
        <w:autoSpaceDN/>
        <w:bidi w:val="0"/>
        <w:adjustRightInd/>
        <w:snapToGrid/>
        <w:spacing w:line="380" w:lineRule="exact"/>
        <w:ind w:left="180" w:right="-685" w:rightChars="-326" w:hanging="360"/>
        <w:textAlignment w:val="auto"/>
        <w:outlineLvl w:val="9"/>
        <w:rPr>
          <w:rFonts w:ascii="仿宋" w:hAnsi="仿宋" w:eastAsia="仿宋"/>
          <w:sz w:val="28"/>
          <w:szCs w:val="28"/>
        </w:rPr>
      </w:pPr>
      <w:r>
        <w:rPr>
          <w:rFonts w:hint="eastAsia" w:ascii="仿宋" w:hAnsi="仿宋" w:eastAsia="仿宋"/>
          <w:sz w:val="28"/>
          <w:szCs w:val="28"/>
        </w:rPr>
        <w:t>学校层面的校内宣传由教务处牵头负责，包括宣传栏、校道、网络；</w:t>
      </w:r>
    </w:p>
    <w:p>
      <w:pPr>
        <w:keepNext w:val="0"/>
        <w:keepLines w:val="0"/>
        <w:pageBreakBefore w:val="0"/>
        <w:widowControl w:val="0"/>
        <w:numPr>
          <w:ilvl w:val="0"/>
          <w:numId w:val="4"/>
        </w:numPr>
        <w:tabs>
          <w:tab w:val="left" w:pos="180"/>
        </w:tabs>
        <w:kinsoku/>
        <w:wordWrap/>
        <w:overflowPunct/>
        <w:topLinePunct w:val="0"/>
        <w:autoSpaceDE/>
        <w:autoSpaceDN/>
        <w:bidi w:val="0"/>
        <w:adjustRightInd/>
        <w:snapToGrid/>
        <w:spacing w:line="380" w:lineRule="exact"/>
        <w:ind w:left="180" w:right="-685" w:rightChars="-326" w:hanging="360"/>
        <w:textAlignment w:val="auto"/>
        <w:outlineLvl w:val="9"/>
        <w:rPr>
          <w:rFonts w:ascii="仿宋" w:hAnsi="仿宋" w:eastAsia="仿宋"/>
          <w:sz w:val="28"/>
          <w:szCs w:val="28"/>
        </w:rPr>
      </w:pPr>
      <w:r>
        <w:rPr>
          <w:rFonts w:hint="eastAsia" w:ascii="仿宋" w:hAnsi="仿宋" w:eastAsia="仿宋"/>
          <w:sz w:val="28"/>
          <w:szCs w:val="28"/>
        </w:rPr>
        <w:t>学校层面的校外宣传由宣传部负责；</w:t>
      </w:r>
    </w:p>
    <w:p>
      <w:pPr>
        <w:keepNext w:val="0"/>
        <w:keepLines w:val="0"/>
        <w:pageBreakBefore w:val="0"/>
        <w:widowControl w:val="0"/>
        <w:numPr>
          <w:ilvl w:val="0"/>
          <w:numId w:val="4"/>
        </w:numPr>
        <w:tabs>
          <w:tab w:val="left" w:pos="180"/>
        </w:tabs>
        <w:kinsoku/>
        <w:wordWrap/>
        <w:overflowPunct/>
        <w:topLinePunct w:val="0"/>
        <w:autoSpaceDE/>
        <w:autoSpaceDN/>
        <w:bidi w:val="0"/>
        <w:adjustRightInd/>
        <w:snapToGrid/>
        <w:spacing w:line="380" w:lineRule="exact"/>
        <w:ind w:left="180" w:right="-685" w:rightChars="-326" w:hanging="360"/>
        <w:textAlignment w:val="auto"/>
        <w:outlineLvl w:val="9"/>
        <w:rPr>
          <w:rFonts w:ascii="仿宋" w:hAnsi="仿宋" w:eastAsia="仿宋"/>
          <w:sz w:val="28"/>
          <w:szCs w:val="28"/>
        </w:rPr>
      </w:pPr>
      <w:r>
        <w:rPr>
          <w:rFonts w:hint="eastAsia" w:ascii="仿宋" w:hAnsi="仿宋" w:eastAsia="仿宋"/>
          <w:sz w:val="28"/>
          <w:szCs w:val="28"/>
        </w:rPr>
        <w:t>各单位应当加大对专家授课过程、效果及特色的宣传力度，撰写宣传稿件，每位专家至少有一篇相关报道，稿件由学院分管教学的副院长主审。</w:t>
      </w:r>
    </w:p>
    <w:p>
      <w:pPr>
        <w:keepNext w:val="0"/>
        <w:keepLines w:val="0"/>
        <w:pageBreakBefore w:val="0"/>
        <w:widowControl w:val="0"/>
        <w:kinsoku/>
        <w:wordWrap/>
        <w:overflowPunct/>
        <w:topLinePunct w:val="0"/>
        <w:autoSpaceDE/>
        <w:autoSpaceDN/>
        <w:bidi w:val="0"/>
        <w:adjustRightInd/>
        <w:snapToGrid/>
        <w:spacing w:line="380" w:lineRule="exact"/>
        <w:ind w:left="-718" w:leftChars="-342" w:right="-685" w:rightChars="-326" w:firstLine="537" w:firstLineChars="192"/>
        <w:textAlignment w:val="auto"/>
        <w:outlineLvl w:val="9"/>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．其他</w:t>
      </w:r>
    </w:p>
    <w:p>
      <w:pPr>
        <w:keepNext w:val="0"/>
        <w:keepLines w:val="0"/>
        <w:pageBreakBefore w:val="0"/>
        <w:widowControl w:val="0"/>
        <w:numPr>
          <w:ilvl w:val="0"/>
          <w:numId w:val="5"/>
        </w:numPr>
        <w:tabs>
          <w:tab w:val="left" w:pos="180"/>
        </w:tabs>
        <w:kinsoku/>
        <w:wordWrap/>
        <w:overflowPunct/>
        <w:topLinePunct w:val="0"/>
        <w:autoSpaceDE/>
        <w:autoSpaceDN/>
        <w:bidi w:val="0"/>
        <w:adjustRightInd/>
        <w:snapToGrid/>
        <w:spacing w:line="380" w:lineRule="exact"/>
        <w:ind w:left="180" w:right="-685" w:rightChars="-326" w:hanging="360"/>
        <w:textAlignment w:val="auto"/>
        <w:outlineLvl w:val="9"/>
      </w:pPr>
      <w:r>
        <w:rPr>
          <w:rFonts w:hint="eastAsia" w:ascii="仿宋" w:hAnsi="仿宋" w:eastAsia="仿宋"/>
          <w:sz w:val="28"/>
          <w:szCs w:val="28"/>
        </w:rPr>
        <w:t>小学期结束后，各单位应及时收集各种材料，完成本单位小学期工作总结并送交教务处；教务处负责召开座谈会，完成总结等工作</w:t>
      </w:r>
      <w:r>
        <w:rPr>
          <w:rFonts w:hint="eastAsia" w:ascii="仿宋_GB2312" w:hAnsi="仿宋" w:eastAsia="仿宋_GB2312"/>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26CCC"/>
    <w:multiLevelType w:val="singleLevel"/>
    <w:tmpl w:val="F3C26CCC"/>
    <w:lvl w:ilvl="0" w:tentative="0">
      <w:start w:val="1"/>
      <w:numFmt w:val="bullet"/>
      <w:lvlText w:val=""/>
      <w:lvlJc w:val="left"/>
      <w:pPr>
        <w:ind w:left="420" w:hanging="420"/>
      </w:pPr>
      <w:rPr>
        <w:rFonts w:hint="default" w:ascii="Wingdings" w:hAnsi="Wingdings"/>
      </w:rPr>
    </w:lvl>
  </w:abstractNum>
  <w:abstractNum w:abstractNumId="1">
    <w:nsid w:val="00630277"/>
    <w:multiLevelType w:val="multilevel"/>
    <w:tmpl w:val="00630277"/>
    <w:lvl w:ilvl="0" w:tentative="0">
      <w:start w:val="1"/>
      <w:numFmt w:val="bullet"/>
      <w:lvlText w:val=""/>
      <w:lvlJc w:val="left"/>
      <w:pPr>
        <w:tabs>
          <w:tab w:val="left" w:pos="-298"/>
        </w:tabs>
        <w:ind w:left="-298" w:hanging="420"/>
      </w:pPr>
      <w:rPr>
        <w:rFonts w:hint="default" w:ascii="Wingdings" w:hAnsi="Wingdings"/>
      </w:rPr>
    </w:lvl>
    <w:lvl w:ilvl="1" w:tentative="0">
      <w:start w:val="1"/>
      <w:numFmt w:val="bullet"/>
      <w:lvlText w:val=""/>
      <w:lvlJc w:val="left"/>
      <w:pPr>
        <w:tabs>
          <w:tab w:val="left" w:pos="122"/>
        </w:tabs>
        <w:ind w:left="122" w:hanging="420"/>
      </w:pPr>
      <w:rPr>
        <w:rFonts w:hint="default" w:ascii="Wingdings" w:hAnsi="Wingdings"/>
      </w:rPr>
    </w:lvl>
    <w:lvl w:ilvl="2" w:tentative="0">
      <w:start w:val="1"/>
      <w:numFmt w:val="bullet"/>
      <w:lvlText w:val=""/>
      <w:lvlJc w:val="left"/>
      <w:pPr>
        <w:tabs>
          <w:tab w:val="left" w:pos="542"/>
        </w:tabs>
        <w:ind w:left="542" w:hanging="420"/>
      </w:pPr>
      <w:rPr>
        <w:rFonts w:hint="default" w:ascii="Wingdings" w:hAnsi="Wingdings"/>
      </w:rPr>
    </w:lvl>
    <w:lvl w:ilvl="3" w:tentative="0">
      <w:start w:val="1"/>
      <w:numFmt w:val="bullet"/>
      <w:lvlText w:val=""/>
      <w:lvlJc w:val="left"/>
      <w:pPr>
        <w:tabs>
          <w:tab w:val="left" w:pos="962"/>
        </w:tabs>
        <w:ind w:left="962" w:hanging="420"/>
      </w:pPr>
      <w:rPr>
        <w:rFonts w:hint="default" w:ascii="Wingdings" w:hAnsi="Wingdings"/>
      </w:rPr>
    </w:lvl>
    <w:lvl w:ilvl="4" w:tentative="0">
      <w:start w:val="1"/>
      <w:numFmt w:val="bullet"/>
      <w:lvlText w:val=""/>
      <w:lvlJc w:val="left"/>
      <w:pPr>
        <w:tabs>
          <w:tab w:val="left" w:pos="1382"/>
        </w:tabs>
        <w:ind w:left="1382" w:hanging="420"/>
      </w:pPr>
      <w:rPr>
        <w:rFonts w:hint="default" w:ascii="Wingdings" w:hAnsi="Wingdings"/>
      </w:rPr>
    </w:lvl>
    <w:lvl w:ilvl="5" w:tentative="0">
      <w:start w:val="1"/>
      <w:numFmt w:val="bullet"/>
      <w:lvlText w:val=""/>
      <w:lvlJc w:val="left"/>
      <w:pPr>
        <w:tabs>
          <w:tab w:val="left" w:pos="1802"/>
        </w:tabs>
        <w:ind w:left="1802" w:hanging="420"/>
      </w:pPr>
      <w:rPr>
        <w:rFonts w:hint="default" w:ascii="Wingdings" w:hAnsi="Wingdings"/>
      </w:rPr>
    </w:lvl>
    <w:lvl w:ilvl="6" w:tentative="0">
      <w:start w:val="1"/>
      <w:numFmt w:val="bullet"/>
      <w:lvlText w:val=""/>
      <w:lvlJc w:val="left"/>
      <w:pPr>
        <w:tabs>
          <w:tab w:val="left" w:pos="2222"/>
        </w:tabs>
        <w:ind w:left="2222" w:hanging="420"/>
      </w:pPr>
      <w:rPr>
        <w:rFonts w:hint="default" w:ascii="Wingdings" w:hAnsi="Wingdings"/>
      </w:rPr>
    </w:lvl>
    <w:lvl w:ilvl="7" w:tentative="0">
      <w:start w:val="1"/>
      <w:numFmt w:val="bullet"/>
      <w:lvlText w:val=""/>
      <w:lvlJc w:val="left"/>
      <w:pPr>
        <w:tabs>
          <w:tab w:val="left" w:pos="2642"/>
        </w:tabs>
        <w:ind w:left="2642" w:hanging="420"/>
      </w:pPr>
      <w:rPr>
        <w:rFonts w:hint="default" w:ascii="Wingdings" w:hAnsi="Wingdings"/>
      </w:rPr>
    </w:lvl>
    <w:lvl w:ilvl="8" w:tentative="0">
      <w:start w:val="1"/>
      <w:numFmt w:val="bullet"/>
      <w:lvlText w:val=""/>
      <w:lvlJc w:val="left"/>
      <w:pPr>
        <w:tabs>
          <w:tab w:val="left" w:pos="3062"/>
        </w:tabs>
        <w:ind w:left="3062" w:hanging="420"/>
      </w:pPr>
      <w:rPr>
        <w:rFonts w:hint="default" w:ascii="Wingdings" w:hAnsi="Wingdings"/>
      </w:rPr>
    </w:lvl>
  </w:abstractNum>
  <w:abstractNum w:abstractNumId="2">
    <w:nsid w:val="00A3165E"/>
    <w:multiLevelType w:val="multilevel"/>
    <w:tmpl w:val="00A3165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ACE163E"/>
    <w:multiLevelType w:val="multilevel"/>
    <w:tmpl w:val="4ACE163E"/>
    <w:lvl w:ilvl="0" w:tentative="0">
      <w:start w:val="2"/>
      <w:numFmt w:val="decimal"/>
      <w:lvlText w:val="%1、"/>
      <w:lvlJc w:val="left"/>
      <w:pPr>
        <w:tabs>
          <w:tab w:val="left" w:pos="542"/>
        </w:tabs>
        <w:ind w:left="542" w:hanging="720"/>
      </w:pPr>
    </w:lvl>
    <w:lvl w:ilvl="1" w:tentative="0">
      <w:start w:val="1"/>
      <w:numFmt w:val="bullet"/>
      <w:lvlText w:val=""/>
      <w:lvlJc w:val="left"/>
      <w:pPr>
        <w:tabs>
          <w:tab w:val="left" w:pos="662"/>
        </w:tabs>
        <w:ind w:left="662" w:hanging="420"/>
      </w:pPr>
      <w:rPr>
        <w:rFonts w:hint="default" w:ascii="Wingdings" w:hAnsi="Wingdings"/>
      </w:rPr>
    </w:lvl>
    <w:lvl w:ilvl="2" w:tentative="0">
      <w:start w:val="1"/>
      <w:numFmt w:val="lowerRoman"/>
      <w:lvlText w:val="%3."/>
      <w:lvlJc w:val="right"/>
      <w:pPr>
        <w:tabs>
          <w:tab w:val="left" w:pos="1082"/>
        </w:tabs>
        <w:ind w:left="1082" w:hanging="420"/>
      </w:pPr>
    </w:lvl>
    <w:lvl w:ilvl="3" w:tentative="0">
      <w:start w:val="1"/>
      <w:numFmt w:val="decimal"/>
      <w:lvlText w:val="%4."/>
      <w:lvlJc w:val="left"/>
      <w:pPr>
        <w:tabs>
          <w:tab w:val="left" w:pos="1502"/>
        </w:tabs>
        <w:ind w:left="1502" w:hanging="420"/>
      </w:pPr>
    </w:lvl>
    <w:lvl w:ilvl="4" w:tentative="0">
      <w:start w:val="1"/>
      <w:numFmt w:val="lowerLetter"/>
      <w:lvlText w:val="%5)"/>
      <w:lvlJc w:val="left"/>
      <w:pPr>
        <w:tabs>
          <w:tab w:val="left" w:pos="1922"/>
        </w:tabs>
        <w:ind w:left="1922" w:hanging="420"/>
      </w:pPr>
    </w:lvl>
    <w:lvl w:ilvl="5" w:tentative="0">
      <w:start w:val="1"/>
      <w:numFmt w:val="lowerRoman"/>
      <w:lvlText w:val="%6."/>
      <w:lvlJc w:val="right"/>
      <w:pPr>
        <w:tabs>
          <w:tab w:val="left" w:pos="2342"/>
        </w:tabs>
        <w:ind w:left="2342" w:hanging="420"/>
      </w:pPr>
    </w:lvl>
    <w:lvl w:ilvl="6" w:tentative="0">
      <w:start w:val="1"/>
      <w:numFmt w:val="decimal"/>
      <w:lvlText w:val="%7."/>
      <w:lvlJc w:val="left"/>
      <w:pPr>
        <w:tabs>
          <w:tab w:val="left" w:pos="2762"/>
        </w:tabs>
        <w:ind w:left="2762" w:hanging="420"/>
      </w:pPr>
    </w:lvl>
    <w:lvl w:ilvl="7" w:tentative="0">
      <w:start w:val="1"/>
      <w:numFmt w:val="lowerLetter"/>
      <w:lvlText w:val="%8)"/>
      <w:lvlJc w:val="left"/>
      <w:pPr>
        <w:tabs>
          <w:tab w:val="left" w:pos="3182"/>
        </w:tabs>
        <w:ind w:left="3182" w:hanging="420"/>
      </w:pPr>
    </w:lvl>
    <w:lvl w:ilvl="8" w:tentative="0">
      <w:start w:val="1"/>
      <w:numFmt w:val="lowerRoman"/>
      <w:lvlText w:val="%9."/>
      <w:lvlJc w:val="right"/>
      <w:pPr>
        <w:tabs>
          <w:tab w:val="left" w:pos="3602"/>
        </w:tabs>
        <w:ind w:left="3602" w:hanging="420"/>
      </w:pPr>
    </w:lvl>
  </w:abstractNum>
  <w:abstractNum w:abstractNumId="4">
    <w:nsid w:val="5F354DAE"/>
    <w:multiLevelType w:val="multilevel"/>
    <w:tmpl w:val="5F354DAE"/>
    <w:lvl w:ilvl="0" w:tentative="0">
      <w:start w:val="1"/>
      <w:numFmt w:val="bullet"/>
      <w:lvlText w:val=""/>
      <w:lvlJc w:val="left"/>
      <w:pPr>
        <w:tabs>
          <w:tab w:val="left" w:pos="242"/>
        </w:tabs>
        <w:ind w:left="242" w:hanging="420"/>
      </w:pPr>
      <w:rPr>
        <w:rFonts w:hint="default" w:ascii="Wingdings" w:hAnsi="Wingdings"/>
      </w:rPr>
    </w:lvl>
    <w:lvl w:ilvl="1" w:tentative="0">
      <w:start w:val="1"/>
      <w:numFmt w:val="bullet"/>
      <w:lvlText w:val=""/>
      <w:lvlJc w:val="left"/>
      <w:pPr>
        <w:tabs>
          <w:tab w:val="left" w:pos="662"/>
        </w:tabs>
        <w:ind w:left="662" w:hanging="420"/>
      </w:pPr>
      <w:rPr>
        <w:rFonts w:hint="default" w:ascii="Wingdings" w:hAnsi="Wingdings"/>
      </w:rPr>
    </w:lvl>
    <w:lvl w:ilvl="2" w:tentative="0">
      <w:start w:val="1"/>
      <w:numFmt w:val="bullet"/>
      <w:lvlText w:val=""/>
      <w:lvlJc w:val="left"/>
      <w:pPr>
        <w:tabs>
          <w:tab w:val="left" w:pos="1082"/>
        </w:tabs>
        <w:ind w:left="1082" w:hanging="420"/>
      </w:pPr>
      <w:rPr>
        <w:rFonts w:hint="default" w:ascii="Wingdings" w:hAnsi="Wingdings"/>
      </w:rPr>
    </w:lvl>
    <w:lvl w:ilvl="3" w:tentative="0">
      <w:start w:val="1"/>
      <w:numFmt w:val="bullet"/>
      <w:lvlText w:val=""/>
      <w:lvlJc w:val="left"/>
      <w:pPr>
        <w:tabs>
          <w:tab w:val="left" w:pos="1502"/>
        </w:tabs>
        <w:ind w:left="1502" w:hanging="420"/>
      </w:pPr>
      <w:rPr>
        <w:rFonts w:hint="default" w:ascii="Wingdings" w:hAnsi="Wingdings"/>
      </w:rPr>
    </w:lvl>
    <w:lvl w:ilvl="4" w:tentative="0">
      <w:start w:val="1"/>
      <w:numFmt w:val="bullet"/>
      <w:lvlText w:val=""/>
      <w:lvlJc w:val="left"/>
      <w:pPr>
        <w:tabs>
          <w:tab w:val="left" w:pos="1922"/>
        </w:tabs>
        <w:ind w:left="1922" w:hanging="420"/>
      </w:pPr>
      <w:rPr>
        <w:rFonts w:hint="default" w:ascii="Wingdings" w:hAnsi="Wingdings"/>
      </w:rPr>
    </w:lvl>
    <w:lvl w:ilvl="5" w:tentative="0">
      <w:start w:val="1"/>
      <w:numFmt w:val="bullet"/>
      <w:lvlText w:val=""/>
      <w:lvlJc w:val="left"/>
      <w:pPr>
        <w:tabs>
          <w:tab w:val="left" w:pos="2342"/>
        </w:tabs>
        <w:ind w:left="2342" w:hanging="420"/>
      </w:pPr>
      <w:rPr>
        <w:rFonts w:hint="default" w:ascii="Wingdings" w:hAnsi="Wingdings"/>
      </w:rPr>
    </w:lvl>
    <w:lvl w:ilvl="6" w:tentative="0">
      <w:start w:val="1"/>
      <w:numFmt w:val="bullet"/>
      <w:lvlText w:val=""/>
      <w:lvlJc w:val="left"/>
      <w:pPr>
        <w:tabs>
          <w:tab w:val="left" w:pos="2762"/>
        </w:tabs>
        <w:ind w:left="2762" w:hanging="420"/>
      </w:pPr>
      <w:rPr>
        <w:rFonts w:hint="default" w:ascii="Wingdings" w:hAnsi="Wingdings"/>
      </w:rPr>
    </w:lvl>
    <w:lvl w:ilvl="7" w:tentative="0">
      <w:start w:val="1"/>
      <w:numFmt w:val="bullet"/>
      <w:lvlText w:val=""/>
      <w:lvlJc w:val="left"/>
      <w:pPr>
        <w:tabs>
          <w:tab w:val="left" w:pos="3182"/>
        </w:tabs>
        <w:ind w:left="3182" w:hanging="420"/>
      </w:pPr>
      <w:rPr>
        <w:rFonts w:hint="default" w:ascii="Wingdings" w:hAnsi="Wingdings"/>
      </w:rPr>
    </w:lvl>
    <w:lvl w:ilvl="8" w:tentative="0">
      <w:start w:val="1"/>
      <w:numFmt w:val="bullet"/>
      <w:lvlText w:val=""/>
      <w:lvlJc w:val="left"/>
      <w:pPr>
        <w:tabs>
          <w:tab w:val="left" w:pos="3602"/>
        </w:tabs>
        <w:ind w:left="3602" w:hanging="420"/>
      </w:pPr>
      <w:rPr>
        <w:rFonts w:hint="default" w:ascii="Wingdings" w:hAnsi="Wingdings"/>
      </w:rPr>
    </w:lvl>
  </w:abstractNum>
  <w:num w:numId="1">
    <w:abstractNumId w:val="0"/>
  </w:num>
  <w:num w:numId="2">
    <w:abstractNumId w:val="4"/>
  </w:num>
  <w:num w:numId="3">
    <w:abstractNumId w:val="3"/>
    <w:lvlOverride w:ilvl="0">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63D5967"/>
    <w:rsid w:val="001C797D"/>
    <w:rsid w:val="002E05AF"/>
    <w:rsid w:val="002E287F"/>
    <w:rsid w:val="003F78E1"/>
    <w:rsid w:val="004417ED"/>
    <w:rsid w:val="00475D4B"/>
    <w:rsid w:val="00AF0C5F"/>
    <w:rsid w:val="00B93BEC"/>
    <w:rsid w:val="00F51B00"/>
    <w:rsid w:val="01C03E04"/>
    <w:rsid w:val="0DFD7062"/>
    <w:rsid w:val="15CB7A2F"/>
    <w:rsid w:val="1CFA55D8"/>
    <w:rsid w:val="21806E45"/>
    <w:rsid w:val="294A0507"/>
    <w:rsid w:val="2B514A21"/>
    <w:rsid w:val="363D5967"/>
    <w:rsid w:val="3BCE5065"/>
    <w:rsid w:val="3ED15525"/>
    <w:rsid w:val="3FC53E99"/>
    <w:rsid w:val="442C090E"/>
    <w:rsid w:val="458568C1"/>
    <w:rsid w:val="4B366CE0"/>
    <w:rsid w:val="4C453664"/>
    <w:rsid w:val="4C5A500F"/>
    <w:rsid w:val="51B81B73"/>
    <w:rsid w:val="5BFB2F02"/>
    <w:rsid w:val="619438E2"/>
    <w:rsid w:val="62057B78"/>
    <w:rsid w:val="620C187C"/>
    <w:rsid w:val="6945051F"/>
    <w:rsid w:val="6D535020"/>
    <w:rsid w:val="6FDC0E0F"/>
    <w:rsid w:val="709566D0"/>
    <w:rsid w:val="7CA8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0"/>
    <w:rPr>
      <w:rFonts w:ascii="Calibri" w:hAnsi="Calibri" w:eastAsia="宋体" w:cs="Times New Roman"/>
      <w:kern w:val="2"/>
      <w:sz w:val="18"/>
      <w:szCs w:val="18"/>
    </w:rPr>
  </w:style>
  <w:style w:type="character" w:customStyle="1" w:styleId="8">
    <w:name w:val="页脚 Char"/>
    <w:basedOn w:val="4"/>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230</Words>
  <Characters>1311</Characters>
  <Lines>10</Lines>
  <Paragraphs>3</Paragraphs>
  <TotalTime>11</TotalTime>
  <ScaleCrop>false</ScaleCrop>
  <LinksUpToDate>false</LinksUpToDate>
  <CharactersWithSpaces>1538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2018-05-07T01:28:00Z</dcterms:created>
  <dc:creator>椰风清凉</dc:creator>
  <cp:lastModifiedBy>椰风清凉</cp:lastModifiedBy>
  <cp:lastPrinted>2018-09-04T07:43:00Z</cp:lastPrinted>
  <dcterms:modified xsi:type="dcterms:W3CDTF">2018-09-27T07:43:22Z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